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6662"/>
      </w:tblGrid>
      <w:tr w:rsidR="00C0577E" w:rsidTr="005903C0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79265AE" wp14:editId="2653A146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5903C0">
        <w:tc>
          <w:tcPr>
            <w:tcW w:w="14992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5903C0">
        <w:tc>
          <w:tcPr>
            <w:tcW w:w="14992" w:type="dxa"/>
            <w:gridSpan w:val="4"/>
          </w:tcPr>
          <w:p w:rsidR="00C0577E" w:rsidRPr="00C0577E" w:rsidRDefault="008879C4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Etüt Proje</w:t>
            </w:r>
            <w:r w:rsidR="005903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Kamulaştırma</w:t>
            </w:r>
            <w:r w:rsidR="00C0577E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Şube Müdürlüğü</w:t>
            </w:r>
          </w:p>
        </w:tc>
      </w:tr>
      <w:tr w:rsidR="008E12C1" w:rsidRPr="00F55016" w:rsidTr="005903C0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5903C0">
        <w:tc>
          <w:tcPr>
            <w:tcW w:w="4644" w:type="dxa"/>
          </w:tcPr>
          <w:tbl>
            <w:tblPr>
              <w:tblW w:w="0" w:type="auto"/>
              <w:tblInd w:w="3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39"/>
            </w:tblGrid>
            <w:tr w:rsidR="005903C0" w:rsidTr="007A177C">
              <w:trPr>
                <w:trHeight w:val="343"/>
              </w:trPr>
              <w:tc>
                <w:tcPr>
                  <w:tcW w:w="86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8468D8" w:rsidRDefault="005903C0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1-</w:t>
                  </w:r>
                  <w:r w:rsidR="00EE285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 w:rsidR="008468D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4734 sayılı kamu ihale kanununa göre ihale yapmak.</w:t>
                  </w:r>
                </w:p>
                <w:p w:rsidR="005903C0" w:rsidRDefault="008468D8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2-) </w:t>
                  </w:r>
                  <w:r w:rsidR="005903C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Yatırım projeleri kapsamında bulunan bina ve tesislerin </w:t>
                  </w:r>
                </w:p>
                <w:p w:rsidR="00CE5B4F" w:rsidRDefault="005903C0" w:rsidP="00CE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projelerini hazırlatmak ve kontrol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etmek .</w:t>
                  </w:r>
                  <w:proofErr w:type="gramEnd"/>
                </w:p>
              </w:tc>
            </w:tr>
            <w:tr w:rsidR="005903C0" w:rsidTr="007A177C">
              <w:trPr>
                <w:trHeight w:val="286"/>
              </w:trPr>
              <w:tc>
                <w:tcPr>
                  <w:tcW w:w="86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903C0" w:rsidRDefault="008468D8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  <w:r w:rsidR="005903C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="00EE285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 w:rsidR="005903C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Tadilatı yapılacak binaların tadilat projelerini hazırlatmak </w:t>
                  </w:r>
                </w:p>
                <w:p w:rsidR="005903C0" w:rsidRDefault="005903C0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ve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kontrol etmek.</w:t>
                  </w:r>
                </w:p>
              </w:tc>
            </w:tr>
            <w:tr w:rsidR="005903C0" w:rsidTr="007A177C">
              <w:trPr>
                <w:trHeight w:val="286"/>
              </w:trPr>
              <w:tc>
                <w:tcPr>
                  <w:tcW w:w="86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903C0" w:rsidRDefault="008468D8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  <w:r w:rsidR="005903C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="00EE285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 w:rsidR="005903C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Yatırım kapsamına alınan bina ve tesislerin yapılacağı </w:t>
                  </w:r>
                </w:p>
                <w:p w:rsidR="005903C0" w:rsidRDefault="005903C0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arsalardaki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kamulaştırılacak olan yerlerin tespitini yapmak</w:t>
                  </w:r>
                </w:p>
                <w:p w:rsidR="005903C0" w:rsidRDefault="005903C0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ve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kamulaştırma haritasını hazırlamak.</w:t>
                  </w:r>
                </w:p>
                <w:p w:rsidR="00CE5B4F" w:rsidRDefault="008468D8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  <w:r w:rsidR="00CE5B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="00EE285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 w:rsidR="00CE5B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2942 sayılı Kamulaştırma Kanununun 4650 sayılı Kanunun </w:t>
                  </w:r>
                </w:p>
                <w:p w:rsidR="00CE5B4F" w:rsidRDefault="00CE5B4F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3.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maddesi  ile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değişik 8. maddesi gereğince, </w:t>
                  </w:r>
                  <w:r w:rsidRPr="007110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ü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niversite</w:t>
                  </w:r>
                </w:p>
                <w:p w:rsidR="00CE5B4F" w:rsidRDefault="00CE5B4F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gelişim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alanı i</w:t>
                  </w:r>
                  <w:r w:rsidRPr="007110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ç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inde kalan </w:t>
                  </w:r>
                  <w:r w:rsidRPr="007110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ö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zel m</w:t>
                  </w:r>
                  <w:r w:rsidRPr="007110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ü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lkiyete ait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kadastral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E5B4F" w:rsidRDefault="00CE5B4F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parsellerin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kamulaştırma işlemlerini yapmak.</w:t>
                  </w:r>
                </w:p>
              </w:tc>
            </w:tr>
          </w:tbl>
          <w:p w:rsidR="00CA1315" w:rsidRPr="00F55016" w:rsidRDefault="00CA1315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12C1" w:rsidRDefault="005903C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GÜNEŞ</w:t>
            </w:r>
          </w:p>
          <w:p w:rsidR="00D3516F" w:rsidRDefault="00D3516F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Orhan ÜNAL</w:t>
            </w:r>
          </w:p>
          <w:p w:rsidR="00B04BF7" w:rsidRDefault="005903C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Hatice EROĞLU</w:t>
            </w:r>
          </w:p>
          <w:p w:rsidR="00B04BF7" w:rsidRDefault="005903C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F. Gonca ER</w:t>
            </w:r>
          </w:p>
          <w:p w:rsidR="00EA70BC" w:rsidRDefault="005903C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Aykut ÇAVUŞOĞLU</w:t>
            </w:r>
          </w:p>
          <w:p w:rsidR="00AA0196" w:rsidRDefault="005903C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ÖZCAN</w:t>
            </w:r>
          </w:p>
          <w:p w:rsidR="00370041" w:rsidRPr="00F55016" w:rsidRDefault="005903C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Kasım DİLER</w:t>
            </w:r>
          </w:p>
        </w:tc>
        <w:tc>
          <w:tcPr>
            <w:tcW w:w="1843" w:type="dxa"/>
          </w:tcPr>
          <w:p w:rsidR="008E12C1" w:rsidRPr="0084627F" w:rsidRDefault="0084627F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662" w:type="dxa"/>
          </w:tcPr>
          <w:p w:rsidR="008E12C1" w:rsidRDefault="0063522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CE5B4F">
              <w:rPr>
                <w:rFonts w:ascii="Times New Roman" w:hAnsi="Times New Roman" w:cs="Times New Roman"/>
                <w:sz w:val="16"/>
                <w:szCs w:val="16"/>
              </w:rPr>
              <w:t>Mimari, Statik, Elektrik ve Mekanik Projelerinin ve</w:t>
            </w:r>
            <w:r w:rsidR="00BC7AD0">
              <w:rPr>
                <w:rFonts w:ascii="Times New Roman" w:hAnsi="Times New Roman" w:cs="Times New Roman"/>
                <w:sz w:val="16"/>
                <w:szCs w:val="16"/>
              </w:rPr>
              <w:t xml:space="preserve"> evrakların</w:t>
            </w:r>
            <w:r w:rsidR="00CE5B4F">
              <w:rPr>
                <w:rFonts w:ascii="Times New Roman" w:hAnsi="Times New Roman" w:cs="Times New Roman"/>
                <w:sz w:val="16"/>
                <w:szCs w:val="16"/>
              </w:rPr>
              <w:t xml:space="preserve">ın kontrol aşamasında 3194 sayılı imar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mevzuat</w:t>
            </w:r>
            <w:r w:rsidR="00CE5B4F">
              <w:rPr>
                <w:rFonts w:ascii="Times New Roman" w:hAnsi="Times New Roman" w:cs="Times New Roman"/>
                <w:sz w:val="16"/>
                <w:szCs w:val="16"/>
              </w:rPr>
              <w:t>ına</w:t>
            </w:r>
            <w:r w:rsidR="00522222">
              <w:rPr>
                <w:rFonts w:ascii="Times New Roman" w:hAnsi="Times New Roman" w:cs="Times New Roman"/>
                <w:sz w:val="16"/>
                <w:szCs w:val="16"/>
              </w:rPr>
              <w:t xml:space="preserve">, 4734 sayılı ihale kanununa </w:t>
            </w:r>
            <w:proofErr w:type="gramStart"/>
            <w:r w:rsidR="00522222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="00DA0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diğer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hukuki düzenlemelere uygunluğunun mevzuatta belirlenen süreler zarfında incelenmesinin sağlanması</w:t>
            </w:r>
            <w:r w:rsidR="00CE5B4F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EE285F">
              <w:rPr>
                <w:rFonts w:ascii="Times New Roman" w:hAnsi="Times New Roman" w:cs="Times New Roman"/>
                <w:sz w:val="16"/>
                <w:szCs w:val="16"/>
              </w:rPr>
              <w:t xml:space="preserve">bina ve tesislerin yapımı için öngörülen ihale tarihinden önce </w:t>
            </w:r>
          </w:p>
          <w:p w:rsidR="00D3516F" w:rsidRDefault="00EE285F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kon</w:t>
            </w:r>
            <w:r w:rsidR="0052222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rol işlemlerinin bitirilmesi.</w:t>
            </w:r>
          </w:p>
          <w:p w:rsidR="00EE285F" w:rsidRDefault="00D3516F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E28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68D8">
              <w:rPr>
                <w:rFonts w:ascii="Calibri" w:hAnsi="Calibri" w:cs="Calibri"/>
                <w:color w:val="000000"/>
                <w:sz w:val="18"/>
                <w:szCs w:val="18"/>
              </w:rPr>
              <w:t>4734 sayılı kamu ihale kanununa göre ihale yapmak.</w:t>
            </w:r>
          </w:p>
          <w:p w:rsidR="00EE285F" w:rsidRDefault="00CE5B4F" w:rsidP="00EE2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*2942 sayılı Kamulaştırma kanununa göre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rızai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kamulaştırmaların planlanan süre zarfında yapılması</w:t>
            </w:r>
            <w:r w:rsidR="00EE285F">
              <w:rPr>
                <w:rFonts w:ascii="Times New Roman" w:hAnsi="Times New Roman" w:cs="Times New Roman"/>
                <w:sz w:val="16"/>
                <w:szCs w:val="16"/>
              </w:rPr>
              <w:t xml:space="preserve">; bina ve tesislerin yapımı için öngörülen ihale tarihinden önce </w:t>
            </w:r>
          </w:p>
          <w:p w:rsidR="00CE5B4F" w:rsidRDefault="00EE285F" w:rsidP="00EE2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kamulaştırma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işlemlerinin bitirilmesi.</w:t>
            </w:r>
          </w:p>
          <w:p w:rsidR="0063522A" w:rsidRDefault="0063522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*İlgili personelin çeşitli eğitim programlarına katılımının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 xml:space="preserve"> sağlanması suretiyle</w:t>
            </w:r>
            <w:r w:rsidR="00EE285F">
              <w:rPr>
                <w:rFonts w:ascii="Times New Roman" w:hAnsi="Times New Roman" w:cs="Times New Roman"/>
                <w:sz w:val="16"/>
                <w:szCs w:val="16"/>
              </w:rPr>
              <w:t xml:space="preserve"> 4734 sayılı ihale mevzuatına, 3194 sayılı imar mevzuatına, 2942 sayılı kamulaştırma kanununa ve ilgili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 xml:space="preserve"> mevzuata </w:t>
            </w:r>
            <w:proofErr w:type="gramStart"/>
            <w:r w:rsidR="00744D96">
              <w:rPr>
                <w:rFonts w:ascii="Times New Roman" w:hAnsi="Times New Roman" w:cs="Times New Roman"/>
                <w:sz w:val="16"/>
                <w:szCs w:val="16"/>
              </w:rPr>
              <w:t>ha</w:t>
            </w:r>
            <w:r w:rsidR="00687837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proofErr w:type="gramEnd"/>
            <w:r w:rsidR="00687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>olması hususunun gözetilmesi</w:t>
            </w:r>
            <w:r w:rsidR="005A14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D9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*Mevzuat değişikliklerinin takip edilmesi</w:t>
            </w:r>
            <w:r w:rsidR="005A14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44D96" w:rsidRPr="00F5501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4A" w:rsidRDefault="0017764A" w:rsidP="005F7D25">
      <w:pPr>
        <w:spacing w:after="0" w:line="240" w:lineRule="auto"/>
      </w:pPr>
      <w:r>
        <w:separator/>
      </w:r>
    </w:p>
  </w:endnote>
  <w:endnote w:type="continuationSeparator" w:id="0">
    <w:p w:rsidR="0017764A" w:rsidRDefault="0017764A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4A" w:rsidRDefault="0017764A" w:rsidP="005F7D25">
      <w:pPr>
        <w:spacing w:after="0" w:line="240" w:lineRule="auto"/>
      </w:pPr>
      <w:r>
        <w:separator/>
      </w:r>
    </w:p>
  </w:footnote>
  <w:footnote w:type="continuationSeparator" w:id="0">
    <w:p w:rsidR="0017764A" w:rsidRDefault="0017764A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85EDF"/>
    <w:rsid w:val="000A3A1F"/>
    <w:rsid w:val="0017764A"/>
    <w:rsid w:val="00205665"/>
    <w:rsid w:val="00271BC1"/>
    <w:rsid w:val="002E6A34"/>
    <w:rsid w:val="002F6437"/>
    <w:rsid w:val="00370041"/>
    <w:rsid w:val="003A2D5E"/>
    <w:rsid w:val="003F6934"/>
    <w:rsid w:val="004334CF"/>
    <w:rsid w:val="00522222"/>
    <w:rsid w:val="005903C0"/>
    <w:rsid w:val="005A145A"/>
    <w:rsid w:val="005F7D25"/>
    <w:rsid w:val="0063522A"/>
    <w:rsid w:val="00636F79"/>
    <w:rsid w:val="00687837"/>
    <w:rsid w:val="006C4A5C"/>
    <w:rsid w:val="006D176B"/>
    <w:rsid w:val="0072609F"/>
    <w:rsid w:val="00744D96"/>
    <w:rsid w:val="00794B4F"/>
    <w:rsid w:val="007A465B"/>
    <w:rsid w:val="007A6F5A"/>
    <w:rsid w:val="0084627F"/>
    <w:rsid w:val="008468D8"/>
    <w:rsid w:val="008821B1"/>
    <w:rsid w:val="008879C4"/>
    <w:rsid w:val="008E12C1"/>
    <w:rsid w:val="008E145B"/>
    <w:rsid w:val="009270CE"/>
    <w:rsid w:val="009C4662"/>
    <w:rsid w:val="009E5362"/>
    <w:rsid w:val="009F38E2"/>
    <w:rsid w:val="00A03F1C"/>
    <w:rsid w:val="00A0592C"/>
    <w:rsid w:val="00AA0196"/>
    <w:rsid w:val="00AA2ECC"/>
    <w:rsid w:val="00B04BF7"/>
    <w:rsid w:val="00B26717"/>
    <w:rsid w:val="00BC7AD0"/>
    <w:rsid w:val="00BF35DF"/>
    <w:rsid w:val="00C0577E"/>
    <w:rsid w:val="00C13524"/>
    <w:rsid w:val="00CA1315"/>
    <w:rsid w:val="00CB3936"/>
    <w:rsid w:val="00CE5B4F"/>
    <w:rsid w:val="00D3516F"/>
    <w:rsid w:val="00D36740"/>
    <w:rsid w:val="00D95FB1"/>
    <w:rsid w:val="00DA08C8"/>
    <w:rsid w:val="00DD4769"/>
    <w:rsid w:val="00E8578B"/>
    <w:rsid w:val="00EA70BC"/>
    <w:rsid w:val="00ED098E"/>
    <w:rsid w:val="00EE285F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ysmn</cp:lastModifiedBy>
  <cp:revision>8</cp:revision>
  <cp:lastPrinted>2015-10-12T09:18:00Z</cp:lastPrinted>
  <dcterms:created xsi:type="dcterms:W3CDTF">2016-01-14T07:52:00Z</dcterms:created>
  <dcterms:modified xsi:type="dcterms:W3CDTF">2016-01-18T07:10:00Z</dcterms:modified>
</cp:coreProperties>
</file>