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6662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AF4BF0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Bakım Onarım Şube Müdürlüğü</w:t>
            </w:r>
          </w:p>
        </w:tc>
      </w:tr>
      <w:tr w:rsidR="008E12C1" w:rsidRPr="00F55016" w:rsidTr="004334CF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1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4334CF">
        <w:tc>
          <w:tcPr>
            <w:tcW w:w="4644" w:type="dxa"/>
          </w:tcPr>
          <w:p w:rsidR="008E12C1" w:rsidRDefault="00ED098E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Ön mali kontrole tabi evraklar ile taahhüt </w:t>
            </w:r>
            <w:r w:rsidR="00794B4F">
              <w:rPr>
                <w:rFonts w:ascii="Times New Roman" w:hAnsi="Times New Roman" w:cs="Times New Roman"/>
                <w:sz w:val="16"/>
                <w:szCs w:val="16"/>
              </w:rPr>
              <w:t>evrakı ve sözleşme tasarılarının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kontrolü</w:t>
            </w:r>
          </w:p>
          <w:p w:rsidR="00BF35DF" w:rsidRDefault="00BF35D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*Gelir, gider, varlık ve yükümlülüklere ilişkin mali karar ve işlemlerin mali mevzuata uygunluk açısından denetimi</w:t>
            </w:r>
          </w:p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*Mali karar ve işlemlerin etkililik, ekonomiklik ve verimlilik açısından kontrolü</w:t>
            </w:r>
          </w:p>
        </w:tc>
        <w:tc>
          <w:tcPr>
            <w:tcW w:w="1418" w:type="dxa"/>
          </w:tcPr>
          <w:p w:rsidR="00AA0196" w:rsidRDefault="00AF4BF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Ertuğrul DİLMEN</w:t>
            </w:r>
          </w:p>
          <w:p w:rsidR="00AF4BF0" w:rsidRDefault="00AF4BF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KEKİL</w:t>
            </w:r>
          </w:p>
          <w:p w:rsidR="00AF4BF0" w:rsidRDefault="00AF4BF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YILMAZ</w:t>
            </w:r>
          </w:p>
          <w:p w:rsidR="00AF4BF0" w:rsidRDefault="00AF4BF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SERT</w:t>
            </w:r>
          </w:p>
          <w:p w:rsidR="00370041" w:rsidRPr="00F55016" w:rsidRDefault="00370041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12C1" w:rsidRPr="0084627F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</w:tcPr>
          <w:p w:rsidR="008E12C1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*Birime ge</w:t>
            </w:r>
            <w:r w:rsidR="00BC7AD0">
              <w:rPr>
                <w:rFonts w:ascii="Times New Roman" w:hAnsi="Times New Roman" w:cs="Times New Roman"/>
                <w:sz w:val="16"/>
                <w:szCs w:val="16"/>
              </w:rPr>
              <w:t>len ön mali kontrole tabi evrakların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mevzuat ve diğer hukuki düzenlemelere uygunluğunun mevzuatta belirlenen süreler zarfında incelenmesinin sağlanması</w:t>
            </w:r>
          </w:p>
          <w:p w:rsidR="0063522A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*İlgili personelin çeşitli eğitim programlarına katılımının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sağlanması suretiyle mevzuata </w:t>
            </w:r>
            <w:proofErr w:type="gramStart"/>
            <w:r w:rsidR="00744D96">
              <w:rPr>
                <w:rFonts w:ascii="Times New Roman" w:hAnsi="Times New Roman" w:cs="Times New Roman"/>
                <w:sz w:val="16"/>
                <w:szCs w:val="16"/>
              </w:rPr>
              <w:t>ha</w:t>
            </w:r>
            <w:r w:rsidR="00687837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gramEnd"/>
            <w:r w:rsidR="00687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>olması hususunun gözetilmesi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  <w:p w:rsidR="00744D96" w:rsidRPr="00F5501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2C1" w:rsidRPr="00F55016" w:rsidTr="004334CF">
        <w:tc>
          <w:tcPr>
            <w:tcW w:w="4644" w:type="dxa"/>
          </w:tcPr>
          <w:p w:rsidR="008E12C1" w:rsidRPr="00F55016" w:rsidRDefault="00B26717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planı kapsamında yapılan çalışmalar</w:t>
            </w:r>
          </w:p>
        </w:tc>
        <w:tc>
          <w:tcPr>
            <w:tcW w:w="1418" w:type="dxa"/>
          </w:tcPr>
          <w:p w:rsidR="000073B0" w:rsidRPr="000073B0" w:rsidRDefault="00AF4BF0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Ertuğrul DİLMEN</w:t>
            </w:r>
          </w:p>
          <w:p w:rsidR="008E12C1" w:rsidRPr="00F55016" w:rsidRDefault="008E12C1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6F5A" w:rsidRPr="00F55016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Zaman kaybı</w:t>
            </w:r>
          </w:p>
        </w:tc>
        <w:tc>
          <w:tcPr>
            <w:tcW w:w="6662" w:type="dxa"/>
          </w:tcPr>
          <w:p w:rsidR="008E12C1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B26717"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planı kapsamında yapılan çalışmalar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ın birim bazında takip edilmesi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standartları konusunda ilerleme yapamayan birimlere destek verilmesi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sistemi izleme araçları geliştirerek</w:t>
            </w:r>
            <w:r w:rsidR="007A465B">
              <w:rPr>
                <w:rFonts w:ascii="Times New Roman" w:hAnsi="Times New Roman" w:cs="Times New Roman"/>
                <w:sz w:val="16"/>
                <w:szCs w:val="16"/>
              </w:rPr>
              <w:t xml:space="preserve"> iç kontrol sisteminin izlemesinin sağlanması</w:t>
            </w:r>
          </w:p>
          <w:p w:rsidR="007A465B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konusunda eğitimler düzenlenmesi</w:t>
            </w:r>
          </w:p>
          <w:p w:rsidR="007A465B" w:rsidRPr="00F55016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düzenlemelerinin takip edilerek çalışmaların güncellenmesi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D1" w:rsidRDefault="00AE1FD1" w:rsidP="005F7D25">
      <w:pPr>
        <w:spacing w:after="0" w:line="240" w:lineRule="auto"/>
      </w:pPr>
      <w:r>
        <w:separator/>
      </w:r>
    </w:p>
  </w:endnote>
  <w:endnote w:type="continuationSeparator" w:id="0">
    <w:p w:rsidR="00AE1FD1" w:rsidRDefault="00AE1FD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D1" w:rsidRDefault="00AE1FD1" w:rsidP="005F7D25">
      <w:pPr>
        <w:spacing w:after="0" w:line="240" w:lineRule="auto"/>
      </w:pPr>
      <w:r>
        <w:separator/>
      </w:r>
    </w:p>
  </w:footnote>
  <w:footnote w:type="continuationSeparator" w:id="0">
    <w:p w:rsidR="00AE1FD1" w:rsidRDefault="00AE1FD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A3A1F"/>
    <w:rsid w:val="00184328"/>
    <w:rsid w:val="00271BC1"/>
    <w:rsid w:val="00370041"/>
    <w:rsid w:val="003A2D5E"/>
    <w:rsid w:val="003F6934"/>
    <w:rsid w:val="004334CF"/>
    <w:rsid w:val="004A7490"/>
    <w:rsid w:val="005F7D25"/>
    <w:rsid w:val="0063522A"/>
    <w:rsid w:val="00687837"/>
    <w:rsid w:val="006C4A5C"/>
    <w:rsid w:val="006D176B"/>
    <w:rsid w:val="0072609F"/>
    <w:rsid w:val="00744D96"/>
    <w:rsid w:val="007736D2"/>
    <w:rsid w:val="00794B4F"/>
    <w:rsid w:val="007A465B"/>
    <w:rsid w:val="007A6F5A"/>
    <w:rsid w:val="0084627F"/>
    <w:rsid w:val="008E12C1"/>
    <w:rsid w:val="008E145B"/>
    <w:rsid w:val="009270CE"/>
    <w:rsid w:val="009C4662"/>
    <w:rsid w:val="009E5362"/>
    <w:rsid w:val="00A03F1C"/>
    <w:rsid w:val="00A0592C"/>
    <w:rsid w:val="00AA0196"/>
    <w:rsid w:val="00AA2ECC"/>
    <w:rsid w:val="00AE1FD1"/>
    <w:rsid w:val="00AF4BF0"/>
    <w:rsid w:val="00B04BF7"/>
    <w:rsid w:val="00B26717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A70BC"/>
    <w:rsid w:val="00ED098E"/>
    <w:rsid w:val="00F40199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ysmn</cp:lastModifiedBy>
  <cp:revision>2</cp:revision>
  <cp:lastPrinted>2015-10-12T09:18:00Z</cp:lastPrinted>
  <dcterms:created xsi:type="dcterms:W3CDTF">2016-01-15T14:09:00Z</dcterms:created>
  <dcterms:modified xsi:type="dcterms:W3CDTF">2016-01-15T14:09:00Z</dcterms:modified>
</cp:coreProperties>
</file>