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1843"/>
        <w:gridCol w:w="6662"/>
      </w:tblGrid>
      <w:tr w:rsidR="00395860" w:rsidRPr="002D738B" w:rsidTr="00395860">
        <w:trPr>
          <w:trHeight w:val="1687"/>
        </w:trPr>
        <w:tc>
          <w:tcPr>
            <w:tcW w:w="5529" w:type="dxa"/>
          </w:tcPr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2149F1" wp14:editId="1E1E8070">
                  <wp:extent cx="2482850" cy="971550"/>
                  <wp:effectExtent l="0" t="0" r="0" b="0"/>
                  <wp:docPr id="4" name="Resim 4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348" w:type="dxa"/>
            <w:gridSpan w:val="3"/>
            <w:vAlign w:val="center"/>
          </w:tcPr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KARABÜK ÜNİVERSİTESİ</w:t>
            </w:r>
          </w:p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HASSAS GÖREV FORMU</w:t>
            </w:r>
          </w:p>
        </w:tc>
      </w:tr>
      <w:tr w:rsidR="00395860" w:rsidRPr="002D738B" w:rsidTr="00395860">
        <w:tc>
          <w:tcPr>
            <w:tcW w:w="15877" w:type="dxa"/>
            <w:gridSpan w:val="4"/>
          </w:tcPr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 xml:space="preserve">Hassas Görev </w:t>
            </w:r>
            <w:proofErr w:type="gramStart"/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Tanımı : Kurum</w:t>
            </w:r>
            <w:proofErr w:type="gramEnd"/>
            <w:r w:rsidRPr="002D738B">
              <w:rPr>
                <w:rFonts w:ascii="Times New Roman" w:hAnsi="Times New Roman"/>
                <w:b/>
                <w:sz w:val="24"/>
                <w:szCs w:val="24"/>
              </w:rPr>
              <w:t xml:space="preserve"> / organizasyonların hizmet ve faaliyetlerinin yürütülmesi esnasında kurum imajını sarsacak, itibar kaybına sebep olacak iş ve işlemlere, bunun yanında hizmet ve faaliyetleri etkinlik, ekonomiklik ve verimlilik bakımından olumsuz yönde etkileyecek </w:t>
            </w:r>
            <w:r w:rsidRPr="00395860">
              <w:rPr>
                <w:rFonts w:ascii="Times New Roman" w:hAnsi="Times New Roman"/>
                <w:sz w:val="24"/>
                <w:szCs w:val="24"/>
              </w:rPr>
              <w:t>görevlere</w:t>
            </w: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 xml:space="preserve"> hassas görev denir.</w:t>
            </w:r>
          </w:p>
        </w:tc>
      </w:tr>
      <w:tr w:rsidR="00395860" w:rsidRPr="002D738B" w:rsidTr="00395860">
        <w:tc>
          <w:tcPr>
            <w:tcW w:w="15877" w:type="dxa"/>
            <w:gridSpan w:val="4"/>
          </w:tcPr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Peyzaj </w:t>
            </w: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 xml:space="preserve"> Şube</w:t>
            </w:r>
            <w:proofErr w:type="gramEnd"/>
            <w:r w:rsidRPr="002D738B">
              <w:rPr>
                <w:rFonts w:ascii="Times New Roman" w:hAnsi="Times New Roman"/>
                <w:b/>
                <w:sz w:val="24"/>
                <w:szCs w:val="24"/>
              </w:rPr>
              <w:t xml:space="preserve"> Müdürlüğü</w:t>
            </w:r>
          </w:p>
        </w:tc>
      </w:tr>
      <w:tr w:rsidR="00395860" w:rsidRPr="002D738B" w:rsidTr="00395860">
        <w:tc>
          <w:tcPr>
            <w:tcW w:w="5529" w:type="dxa"/>
            <w:vAlign w:val="center"/>
          </w:tcPr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vAlign w:val="center"/>
          </w:tcPr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6662" w:type="dxa"/>
            <w:vAlign w:val="center"/>
          </w:tcPr>
          <w:p w:rsidR="00395860" w:rsidRPr="002D738B" w:rsidRDefault="00395860" w:rsidP="004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8B">
              <w:rPr>
                <w:rFonts w:ascii="Times New Roman" w:hAnsi="Times New Roman"/>
                <w:b/>
                <w:sz w:val="24"/>
                <w:szCs w:val="24"/>
              </w:rPr>
              <w:t>Alınacak Önlemler</w:t>
            </w:r>
          </w:p>
        </w:tc>
      </w:tr>
      <w:tr w:rsidR="00395860" w:rsidRPr="002D738B" w:rsidTr="00395860">
        <w:tc>
          <w:tcPr>
            <w:tcW w:w="5529" w:type="dxa"/>
          </w:tcPr>
          <w:tbl>
            <w:tblPr>
              <w:tblW w:w="8639" w:type="dxa"/>
              <w:tblInd w:w="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39"/>
            </w:tblGrid>
            <w:tr w:rsidR="00395860" w:rsidRPr="002D738B" w:rsidTr="004C5729">
              <w:trPr>
                <w:trHeight w:val="343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1. Yapım İşleri İhaleleri Uygulama Yönetme-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spell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liğine</w:t>
                  </w:r>
                  <w:proofErr w:type="spell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göre </w:t>
                  </w: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rekreasyon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ve peyzaj projelerinin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hazırlanması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, Yaklaşık Maliyetlerinin tespiti,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İhale dosyalarının hazırlanması ile yapım işle-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spell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rinin</w:t>
                  </w:r>
                  <w:proofErr w:type="spell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yürütülmesinin denetim ve kontrollüğü,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geçici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ve kesin kabullerinin yapılması, </w:t>
                  </w:r>
                  <w:proofErr w:type="spell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hakediş</w:t>
                  </w:r>
                  <w:proofErr w:type="spell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dosyasının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hazırlanması ve bu işlerin mevzuata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uygunluğunun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denetlenmesi ve yürütülmesi </w:t>
                  </w:r>
                </w:p>
                <w:p w:rsidR="00395860" w:rsidRPr="002D738B" w:rsidRDefault="00395860" w:rsidP="004C57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proofErr w:type="gramStart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ile</w:t>
                  </w:r>
                  <w:proofErr w:type="gramEnd"/>
                  <w:r w:rsidRPr="002D738B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 ilgili işleri yerine getirilmesini sağlamak.</w:t>
                  </w:r>
                </w:p>
              </w:tc>
            </w:tr>
          </w:tbl>
          <w:p w:rsidR="00395860" w:rsidRPr="002D738B" w:rsidRDefault="00395860" w:rsidP="004C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Hizmet Alımı İhaleleri Uygulama Yönetmeliğine göre peyzaj bakım işlerinin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Yaklaşık Maliyetlerinin tespiti, İhale dosyalarının hazırlanması ile yapım işlerinin yürütülmesinin denetim ve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kontrollüğü,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geçici ve kesin kabullerinin yapılması, </w:t>
            </w:r>
            <w:proofErr w:type="spellStart"/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hakediş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dosyasının hazırlanması ve bu işlerin mevzuata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uygunluğunun denetlenmesi ve yürütülmesi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color w:val="1A1A1A"/>
                <w:sz w:val="24"/>
                <w:szCs w:val="24"/>
              </w:rPr>
              <w:t>ile ilgili işleri yerine getirilmesini sağlamak.</w:t>
            </w:r>
          </w:p>
        </w:tc>
        <w:tc>
          <w:tcPr>
            <w:tcW w:w="1843" w:type="dxa"/>
          </w:tcPr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38B">
              <w:rPr>
                <w:rFonts w:ascii="Times New Roman" w:hAnsi="Times New Roman"/>
                <w:sz w:val="24"/>
                <w:szCs w:val="24"/>
              </w:rPr>
              <w:t>Ahmet KARCI</w:t>
            </w:r>
          </w:p>
        </w:tc>
        <w:tc>
          <w:tcPr>
            <w:tcW w:w="1843" w:type="dxa"/>
          </w:tcPr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38B">
              <w:rPr>
                <w:rFonts w:ascii="Times New Roman" w:hAnsi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6662" w:type="dxa"/>
          </w:tcPr>
          <w:p w:rsidR="00395860" w:rsidRPr="002D738B" w:rsidRDefault="00395860" w:rsidP="004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Peyzaj 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 xml:space="preserve"> Projelerinin</w:t>
            </w:r>
            <w:proofErr w:type="gramEnd"/>
            <w:r w:rsidRPr="002D738B">
              <w:rPr>
                <w:rFonts w:ascii="Times New Roman" w:hAnsi="Times New Roman"/>
                <w:sz w:val="24"/>
                <w:szCs w:val="24"/>
              </w:rPr>
              <w:t xml:space="preserve"> ve evraklarının kontrol aşamasında 3194 sayılı imar mevzuatına ve diğer hukuki düzenlemelere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>uygunluğunun mevzua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tta belirlenen süreler zarfında 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 xml:space="preserve">incelenmesinin sağlanması;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bina ve tesislerin yapımı için 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 xml:space="preserve">öngörülen ihale tarihinden önce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işlemlerinin 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 xml:space="preserve">bitirilmesi. </w:t>
            </w:r>
          </w:p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738B">
              <w:rPr>
                <w:rFonts w:ascii="Times New Roman" w:hAnsi="Times New Roman"/>
                <w:sz w:val="24"/>
                <w:szCs w:val="24"/>
              </w:rPr>
              <w:t xml:space="preserve">İlgili personelin çeşitli eğitim programlarına katılımının sağlanması suretiyle 4734 sayılı ihale mevzuatına, </w:t>
            </w:r>
            <w:proofErr w:type="gramStart"/>
            <w:r w:rsidRPr="002D738B">
              <w:rPr>
                <w:rFonts w:ascii="Times New Roman" w:hAnsi="Times New Roman"/>
                <w:sz w:val="24"/>
                <w:szCs w:val="24"/>
              </w:rPr>
              <w:t>hakim</w:t>
            </w:r>
            <w:proofErr w:type="gramEnd"/>
            <w:r w:rsidRPr="002D738B">
              <w:rPr>
                <w:rFonts w:ascii="Times New Roman" w:hAnsi="Times New Roman"/>
                <w:sz w:val="24"/>
                <w:szCs w:val="24"/>
              </w:rPr>
              <w:t xml:space="preserve"> olması hususunun gözetilmesi.</w:t>
            </w:r>
          </w:p>
          <w:p w:rsidR="00395860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38B">
              <w:rPr>
                <w:rFonts w:ascii="Times New Roman" w:hAnsi="Times New Roman"/>
                <w:sz w:val="24"/>
                <w:szCs w:val="24"/>
              </w:rPr>
              <w:t>*Mevzuat değişikliklerinin takip edilmesi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95860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860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860" w:rsidRPr="002D738B" w:rsidRDefault="00395860" w:rsidP="004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29E" w:rsidRDefault="009A729E"/>
    <w:sectPr w:rsidR="009A729E" w:rsidSect="0039586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0" w:rsidRDefault="00787FB0">
      <w:pPr>
        <w:spacing w:after="0" w:line="240" w:lineRule="auto"/>
      </w:pPr>
      <w:r>
        <w:separator/>
      </w:r>
    </w:p>
  </w:endnote>
  <w:endnote w:type="continuationSeparator" w:id="0">
    <w:p w:rsidR="00787FB0" w:rsidRDefault="007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0" w:rsidRDefault="00787FB0">
      <w:pPr>
        <w:spacing w:after="0" w:line="240" w:lineRule="auto"/>
      </w:pPr>
      <w:r>
        <w:separator/>
      </w:r>
    </w:p>
  </w:footnote>
  <w:footnote w:type="continuationSeparator" w:id="0">
    <w:p w:rsidR="00787FB0" w:rsidRDefault="0078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BE7889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85F"/>
    <w:multiLevelType w:val="hybridMultilevel"/>
    <w:tmpl w:val="39E8C942"/>
    <w:lvl w:ilvl="0" w:tplc="3F425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1603"/>
    <w:multiLevelType w:val="hybridMultilevel"/>
    <w:tmpl w:val="3CA6F98C"/>
    <w:lvl w:ilvl="0" w:tplc="585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14D"/>
    <w:multiLevelType w:val="hybridMultilevel"/>
    <w:tmpl w:val="39AE23C6"/>
    <w:lvl w:ilvl="0" w:tplc="6DFA6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9"/>
    <w:rsid w:val="00174463"/>
    <w:rsid w:val="001A3FDA"/>
    <w:rsid w:val="002B27EE"/>
    <w:rsid w:val="00395860"/>
    <w:rsid w:val="00617DD5"/>
    <w:rsid w:val="00787FB0"/>
    <w:rsid w:val="009A729E"/>
    <w:rsid w:val="00BB19FD"/>
    <w:rsid w:val="00BE7889"/>
    <w:rsid w:val="00BF23EB"/>
    <w:rsid w:val="00D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8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E7889"/>
  </w:style>
  <w:style w:type="paragraph" w:styleId="BalonMetni">
    <w:name w:val="Balloon Text"/>
    <w:basedOn w:val="Normal"/>
    <w:link w:val="BalonMetniChar"/>
    <w:uiPriority w:val="99"/>
    <w:semiHidden/>
    <w:unhideWhenUsed/>
    <w:rsid w:val="00BE7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8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44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39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8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8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E7889"/>
  </w:style>
  <w:style w:type="paragraph" w:styleId="BalonMetni">
    <w:name w:val="Balloon Text"/>
    <w:basedOn w:val="Normal"/>
    <w:link w:val="BalonMetniChar"/>
    <w:uiPriority w:val="99"/>
    <w:semiHidden/>
    <w:unhideWhenUsed/>
    <w:rsid w:val="00BE7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8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44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39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ysmn</cp:lastModifiedBy>
  <cp:revision>2</cp:revision>
  <dcterms:created xsi:type="dcterms:W3CDTF">2016-05-25T07:05:00Z</dcterms:created>
  <dcterms:modified xsi:type="dcterms:W3CDTF">2016-05-25T07:05:00Z</dcterms:modified>
</cp:coreProperties>
</file>